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276"/>
        <w:ind w:right="4535" w:hanging="0"/>
        <w:jc w:val="both"/>
        <w:rPr/>
      </w:pPr>
      <w:r>
        <w:rPr>
          <w:rStyle w:val="Domylnaczcionkaakapitu"/>
          <w:rFonts w:cs="Times New Roman"/>
          <w:b/>
        </w:rPr>
        <w:t>KOMENDANT WOJEWÓDZKI POLICJI</w:t>
      </w:r>
    </w:p>
    <w:p>
      <w:pPr>
        <w:pStyle w:val="Normalny"/>
        <w:spacing w:lineRule="auto" w:line="276" w:before="0" w:after="120"/>
        <w:ind w:right="4535" w:firstLine="708"/>
        <w:jc w:val="both"/>
        <w:rPr/>
      </w:pPr>
      <w:r>
        <w:rPr>
          <w:rStyle w:val="Domylnaczcionkaakapitu"/>
          <w:rFonts w:cs="Times New Roman"/>
          <w:b/>
        </w:rPr>
        <w:t xml:space="preserve">         </w:t>
      </w:r>
      <w:r>
        <w:rPr>
          <w:rStyle w:val="Domylnaczcionkaakapitu"/>
          <w:rFonts w:cs="Times New Roman"/>
          <w:b/>
        </w:rPr>
        <w:t>W SZCZECINIE</w:t>
      </w:r>
    </w:p>
    <w:p>
      <w:pPr>
        <w:pStyle w:val="Normalny"/>
        <w:spacing w:lineRule="auto" w:line="276"/>
        <w:ind w:right="4535" w:hanging="0"/>
        <w:jc w:val="both"/>
        <w:rPr/>
      </w:pPr>
      <w:r>
        <w:rPr>
          <w:rStyle w:val="Domylnaczcionkaakapitu"/>
          <w:rFonts w:eastAsia="Times New Roman" w:cs="Times New Roman"/>
        </w:rPr>
        <w:t xml:space="preserve">       </w:t>
      </w:r>
      <w:r>
        <w:rPr>
          <w:rStyle w:val="Domylnaczcionkaakapitu"/>
          <w:rFonts w:cs="Times New Roman"/>
        </w:rPr>
        <w:t>L.dz. Ks. 1646/22</w:t>
      </w:r>
    </w:p>
    <w:p>
      <w:pPr>
        <w:pStyle w:val="Normalny"/>
        <w:spacing w:lineRule="auto" w:line="276"/>
        <w:ind w:right="4535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ny"/>
        <w:spacing w:lineRule="auto" w:line="276"/>
        <w:ind w:right="4535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ny"/>
        <w:spacing w:lineRule="auto" w:line="276"/>
        <w:ind w:right="4535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ny"/>
        <w:tabs>
          <w:tab w:val="left" w:pos="0" w:leader="none"/>
        </w:tabs>
        <w:spacing w:lineRule="auto" w:line="276"/>
        <w:jc w:val="both"/>
        <w:rPr/>
      </w:pPr>
      <w:r>
        <w:rPr>
          <w:rStyle w:val="Domylnaczcionkaakapitu"/>
          <w:rFonts w:cs="Times New Roman"/>
          <w:lang w:eastAsia="pl-PL" w:bidi="ar-SA"/>
        </w:rPr>
        <w:drawing>
          <wp:inline distT="0" distB="101600" distL="0" distR="0">
            <wp:extent cx="5760720" cy="2000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tabeli"/>
        <w:spacing w:lineRule="auto" w:line="276" w:before="0" w:after="120"/>
        <w:rPr/>
      </w:pPr>
      <w:r>
        <w:rPr>
          <w:rStyle w:val="Domylnaczcionkaakapitu"/>
          <w:rFonts w:cs="Times New Roman"/>
          <w:color w:val="000000"/>
        </w:rPr>
        <w:t>KOMENDY WOJEWÓDZKIEJ POLICJI W SZCZECINIE</w:t>
      </w:r>
    </w:p>
    <w:p>
      <w:pPr>
        <w:pStyle w:val="Nagwektabeli"/>
        <w:spacing w:lineRule="auto" w:line="276" w:before="0" w:after="120"/>
        <w:rPr/>
      </w:pPr>
      <w:r>
        <w:rPr>
          <w:rStyle w:val="Domylnaczcionkaakapitu"/>
          <w:rFonts w:cs="Times New Roman"/>
          <w:b w:val="false"/>
          <w:bCs w:val="false"/>
          <w:color w:val="000000"/>
        </w:rPr>
        <w:t>z dnia 19 sierpnia 2022 r.</w:t>
      </w:r>
    </w:p>
    <w:p>
      <w:pPr>
        <w:pStyle w:val="Normalny"/>
        <w:spacing w:lineRule="auto" w:line="276"/>
        <w:jc w:val="center"/>
        <w:rPr/>
      </w:pPr>
      <w:r>
        <w:rPr>
          <w:rStyle w:val="Domylnaczcionkaakapitu"/>
          <w:rFonts w:cs="Times New Roman"/>
          <w:b/>
          <w:bCs/>
          <w:color w:val="000000"/>
        </w:rPr>
        <w:t>zmieniający regulamin Komendy Wojewódzkiej Policji w Szczecinie</w:t>
      </w:r>
    </w:p>
    <w:p>
      <w:pPr>
        <w:pStyle w:val="Normalny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ny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ekstkomentarza1"/>
        <w:ind w:firstLine="425"/>
        <w:jc w:val="both"/>
        <w:rPr/>
      </w:pPr>
      <w:r>
        <w:rPr>
          <w:rStyle w:val="Domylnaczcionkaakapitu"/>
          <w:rFonts w:cs="Times New Roman"/>
          <w:sz w:val="24"/>
          <w:szCs w:val="24"/>
        </w:rPr>
        <w:t>Na podstawie art. 7 ust. 4 ustawy z dnia 6 kwietnia 1990 r. o Policji (Dz. U. z 2021 r. poz. 1882, z późn. zm.</w:t>
      </w:r>
      <w:r>
        <w:rPr>
          <w:rStyle w:val="Odwoanieprzypisudolnego"/>
          <w:rStyle w:val="Odwoanieprzypisudolnego"/>
          <w:rFonts w:cs="Times New Roman"/>
          <w:sz w:val="24"/>
          <w:szCs w:val="24"/>
        </w:rPr>
        <w:footnoteReference w:customMarkFollows="1" w:id="2"/>
        <w:t>1)</w:t>
      </w:r>
      <w:r>
        <w:rPr>
          <w:rStyle w:val="Domylnaczcionkaakapitu"/>
          <w:rFonts w:cs="Times New Roman"/>
          <w:sz w:val="24"/>
          <w:szCs w:val="24"/>
        </w:rPr>
        <w:t>) postanawia się, co następuje:</w:t>
      </w:r>
    </w:p>
    <w:p>
      <w:pPr>
        <w:pStyle w:val="Tekstkomentarza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Tekstkomentarza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ny"/>
        <w:ind w:firstLine="425"/>
        <w:jc w:val="both"/>
        <w:rPr/>
      </w:pPr>
      <w:r>
        <w:rPr>
          <w:rStyle w:val="Domylnaczcionkaakapitu"/>
          <w:rFonts w:eastAsia="Arial" w:cs="Times New Roman"/>
          <w:b/>
          <w:bCs/>
          <w:color w:val="000000"/>
          <w:spacing w:val="-2"/>
        </w:rPr>
        <w:t xml:space="preserve">§ 1. </w:t>
      </w:r>
      <w:r>
        <w:rPr>
          <w:rStyle w:val="Domylnaczcionkaakapitu"/>
          <w:rFonts w:eastAsia="Arial" w:cs="Times New Roman"/>
          <w:color w:val="000000"/>
          <w:spacing w:val="-2"/>
        </w:rPr>
        <w:t>W regulaminie Komendy Wojewódzkiej Policji w Szczecinie z dnia 17 listopada 2021 r., zmienionym regulaminem z dnia 8 lutego 2022 r., wprowadza się następujące zmiany:</w:t>
      </w:r>
    </w:p>
    <w:p>
      <w:pPr>
        <w:pStyle w:val="Normalny"/>
        <w:numPr>
          <w:ilvl w:val="0"/>
          <w:numId w:val="2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w § 8 w ust. 2 w pkt 1 uchyla się lit. g;</w:t>
      </w:r>
    </w:p>
    <w:p>
      <w:pPr>
        <w:pStyle w:val="Normalny"/>
        <w:numPr>
          <w:ilvl w:val="0"/>
          <w:numId w:val="2"/>
        </w:numPr>
        <w:ind w:left="284" w:hanging="284"/>
        <w:jc w:val="both"/>
        <w:rPr/>
      </w:pPr>
      <w:r>
        <w:rPr>
          <w:rStyle w:val="Domylnaczcionkaakapitu"/>
          <w:rFonts w:cs="Times New Roman"/>
        </w:rPr>
        <w:t xml:space="preserve">w § 16 </w:t>
      </w:r>
      <w:r>
        <w:rPr>
          <w:rStyle w:val="Domylnaczcionkaakapitu"/>
          <w:rFonts w:cs="Times New Roman"/>
          <w:color w:val="000000"/>
        </w:rPr>
        <w:t>w pkt 13 kropkę zastępuje się średnikiem i dodaje się pkt 14 w brzmieniu:</w:t>
      </w:r>
    </w:p>
    <w:p>
      <w:pPr>
        <w:pStyle w:val="Normalny"/>
        <w:ind w:left="425" w:hanging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,,14) prowadzenie ukierunkowanego monitoringu sieci Internet pod kątem ujawniania, zamieszczania i rozpowszechniania treści prawnie zabronionych oraz zdarzeń o charakterze przestępczym.”;</w:t>
      </w:r>
    </w:p>
    <w:p>
      <w:pPr>
        <w:pStyle w:val="Normalny"/>
        <w:numPr>
          <w:ilvl w:val="0"/>
          <w:numId w:val="2"/>
        </w:numPr>
        <w:ind w:left="284" w:hanging="284"/>
        <w:jc w:val="both"/>
        <w:rPr/>
      </w:pPr>
      <w:r>
        <w:rPr>
          <w:rStyle w:val="Domylnaczcionkaakapitu"/>
          <w:rFonts w:cs="Times New Roman"/>
        </w:rPr>
        <w:t xml:space="preserve">w § 17 </w:t>
      </w:r>
      <w:r>
        <w:rPr>
          <w:rStyle w:val="Domylnaczcionkaakapitu"/>
          <w:rFonts w:cs="Times New Roman"/>
          <w:color w:val="000000"/>
        </w:rPr>
        <w:t>w pkt 6 kropkę zastępuje się średnikiem i dodaje się pkt 7 w brzmieniu:</w:t>
      </w:r>
    </w:p>
    <w:p>
      <w:pPr>
        <w:pStyle w:val="Normalny"/>
        <w:ind w:firstLine="284"/>
        <w:jc w:val="both"/>
        <w:rPr/>
      </w:pPr>
      <w:r>
        <w:rPr>
          <w:rStyle w:val="Domylnaczcionkaakapitu"/>
          <w:rFonts w:cs="Times New Roman"/>
          <w:color w:val="000000"/>
        </w:rPr>
        <w:t xml:space="preserve">  </w:t>
      </w:r>
      <w:r>
        <w:rPr>
          <w:rStyle w:val="Domylnaczcionkaakapitu"/>
          <w:rFonts w:cs="Times New Roman"/>
          <w:color w:val="000000"/>
        </w:rPr>
        <w:t>,,7) zabezpieczanie i analiza elektronicznych nośników informacji.”;</w:t>
      </w:r>
    </w:p>
    <w:p>
      <w:pPr>
        <w:pStyle w:val="Normalny"/>
        <w:numPr>
          <w:ilvl w:val="0"/>
          <w:numId w:val="2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uchyla się § 19;</w:t>
      </w:r>
    </w:p>
    <w:p>
      <w:pPr>
        <w:pStyle w:val="Normalny"/>
        <w:numPr>
          <w:ilvl w:val="0"/>
          <w:numId w:val="2"/>
        </w:numPr>
        <w:ind w:left="284" w:hanging="284"/>
        <w:jc w:val="both"/>
        <w:rPr/>
      </w:pPr>
      <w:r>
        <w:rPr>
          <w:rStyle w:val="Domylnaczcionkaakapitu"/>
          <w:rFonts w:cs="Times New Roman"/>
        </w:rPr>
        <w:t>w § 24 pkt 6 otrzymuje brzmienie:</w:t>
      </w:r>
    </w:p>
    <w:p>
      <w:pPr>
        <w:pStyle w:val="Normalny"/>
        <w:ind w:left="284" w:hanging="0"/>
        <w:jc w:val="both"/>
        <w:rPr/>
      </w:pPr>
      <w:r>
        <w:rPr>
          <w:rStyle w:val="Domylnaczcionkaakapitu"/>
          <w:rFonts w:cs="Times New Roman"/>
        </w:rPr>
        <w:t>„</w:t>
      </w:r>
      <w:r>
        <w:rPr>
          <w:rStyle w:val="Domylnaczcionkaakapitu"/>
          <w:rFonts w:cs="Times New Roman"/>
        </w:rPr>
        <w:t xml:space="preserve">6) </w:t>
      </w:r>
      <w:r>
        <w:rPr>
          <w:rStyle w:val="Domylnaczcionkaakapitu"/>
          <w:rFonts w:cs="Times New Roman"/>
          <w:color w:val="000000"/>
        </w:rPr>
        <w:t>zapewnienie właściwego funkcjonowania oraz pełnienia służby w Policyjnej Izbie Dziecka z siedzibą w Szczecinie;</w:t>
      </w:r>
      <w:r>
        <w:rPr>
          <w:rStyle w:val="Domylnaczcionkaakapitu"/>
          <w:rFonts w:cs="Times New Roman"/>
        </w:rPr>
        <w:t>”;</w:t>
      </w:r>
    </w:p>
    <w:p>
      <w:pPr>
        <w:pStyle w:val="Normalny"/>
        <w:numPr>
          <w:ilvl w:val="0"/>
          <w:numId w:val="2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w § 29 pkt 26 otrzymuje brzmienie:</w:t>
      </w:r>
    </w:p>
    <w:p>
      <w:pPr>
        <w:pStyle w:val="Normalny"/>
        <w:ind w:left="284" w:hanging="0"/>
        <w:jc w:val="both"/>
        <w:rPr/>
      </w:pPr>
      <w:r>
        <w:rPr>
          <w:rStyle w:val="Domylnaczcionkaakapitu"/>
          <w:rFonts w:cs="Times New Roman"/>
        </w:rPr>
        <w:t>„</w:t>
      </w:r>
      <w:r>
        <w:rPr>
          <w:rStyle w:val="Domylnaczcionkaakapitu"/>
          <w:rFonts w:cs="Times New Roman"/>
        </w:rPr>
        <w:t xml:space="preserve">26) </w:t>
      </w:r>
      <w:r>
        <w:rPr>
          <w:rStyle w:val="Domylnaczcionkaakapitu"/>
          <w:rFonts w:cs="Times New Roman"/>
          <w:color w:val="000000"/>
        </w:rPr>
        <w:t>prowadzenie obsługi finansowo-księgowej komórek organizacyjnych BSWP, CBŚP i Centralnego Biura Zwalczania Cyberprzestępczości, zwanego dalej „CBZC”, znajdujących się na obszarze terytorialnego zasięgu działania Komendanta;</w:t>
      </w:r>
      <w:r>
        <w:rPr>
          <w:rStyle w:val="Domylnaczcionkaakapitu"/>
          <w:rFonts w:cs="Times New Roman"/>
        </w:rPr>
        <w:t>”;</w:t>
      </w:r>
    </w:p>
    <w:p>
      <w:pPr>
        <w:pStyle w:val="Normalny"/>
        <w:numPr>
          <w:ilvl w:val="0"/>
          <w:numId w:val="2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w § 30 pkt 1 otrzymuje brzmienie:</w:t>
      </w:r>
    </w:p>
    <w:p>
      <w:pPr>
        <w:pStyle w:val="Normalny"/>
        <w:ind w:left="284" w:hanging="0"/>
        <w:jc w:val="both"/>
        <w:rPr/>
      </w:pPr>
      <w:r>
        <w:rPr>
          <w:rStyle w:val="Domylnaczcionkaakapitu"/>
          <w:rFonts w:cs="Times New Roman"/>
        </w:rPr>
        <w:t>„</w:t>
      </w:r>
      <w:r>
        <w:rPr>
          <w:rStyle w:val="Domylnaczcionkaakapitu"/>
          <w:rFonts w:cs="Times New Roman"/>
        </w:rPr>
        <w:t xml:space="preserve">1) </w:t>
      </w:r>
      <w:r>
        <w:rPr>
          <w:rStyle w:val="Domylnaczcionkaakapitu"/>
          <w:rFonts w:cs="Times New Roman"/>
          <w:color w:val="000000"/>
          <w:spacing w:val="-4"/>
        </w:rPr>
        <w:t xml:space="preserve">materiałowo-techniczne </w:t>
      </w:r>
      <w:r>
        <w:rPr>
          <w:rStyle w:val="Domylnaczcionkaakapitu"/>
          <w:rFonts w:cs="Times New Roman"/>
          <w:color w:val="000000"/>
        </w:rPr>
        <w:t xml:space="preserve">zabezpieczenie funkcjonowania Komendy, podległych jednostek oraz komórek organizacyjnych BSWP, CBŚP i CBZC znajdujących się na obszarze terytorialnego zasięgu </w:t>
      </w:r>
      <w:r>
        <w:rPr>
          <w:rStyle w:val="Domylnaczcionkaakapitu"/>
          <w:rFonts w:cs="Times New Roman"/>
          <w:color w:val="000000"/>
          <w:spacing w:val="-4"/>
        </w:rPr>
        <w:t>działania Komendanta;</w:t>
      </w:r>
      <w:r>
        <w:rPr>
          <w:rStyle w:val="Domylnaczcionkaakapitu"/>
          <w:rFonts w:cs="Times New Roman"/>
        </w:rPr>
        <w:t>”;</w:t>
      </w:r>
    </w:p>
    <w:p>
      <w:pPr>
        <w:pStyle w:val="Normalny"/>
        <w:numPr>
          <w:ilvl w:val="0"/>
          <w:numId w:val="2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w § 31 pkt 12 otrzymuje brzmienie:</w:t>
      </w:r>
    </w:p>
    <w:p>
      <w:pPr>
        <w:pStyle w:val="Normalny"/>
        <w:ind w:left="284" w:hanging="0"/>
        <w:jc w:val="both"/>
        <w:rPr/>
      </w:pPr>
      <w:r>
        <w:rPr>
          <w:rStyle w:val="Domylnaczcionkaakapitu"/>
          <w:rFonts w:cs="Times New Roman"/>
        </w:rPr>
        <w:t>„</w:t>
      </w:r>
      <w:r>
        <w:rPr>
          <w:rStyle w:val="Domylnaczcionkaakapitu"/>
          <w:rFonts w:cs="Times New Roman"/>
        </w:rPr>
        <w:t xml:space="preserve">12) </w:t>
      </w:r>
      <w:r>
        <w:rPr>
          <w:rStyle w:val="Domylnaczcionkaakapitu"/>
          <w:rFonts w:cs="Times New Roman"/>
          <w:color w:val="000000"/>
          <w:spacing w:val="-4"/>
        </w:rPr>
        <w:t>zaopatrywanie kom</w:t>
      </w:r>
      <w:r>
        <w:rPr>
          <w:rStyle w:val="Domylnaczcionkaakapitu"/>
          <w:rFonts w:cs="Times New Roman"/>
          <w:color w:val="000000"/>
        </w:rPr>
        <w:t>órek organizacyjnych BSWP, CBŚP i CBZC znajdujących się na obszarze terytorialnego zasięgu działania Komendanta w sprzęt transportowy i realizowanie zadań związanych z eksploatacją tego sprzętu;</w:t>
      </w:r>
      <w:r>
        <w:rPr>
          <w:rStyle w:val="Domylnaczcionkaakapitu"/>
          <w:rFonts w:cs="Times New Roman"/>
        </w:rPr>
        <w:t>”;</w:t>
      </w:r>
    </w:p>
    <w:p>
      <w:pPr>
        <w:pStyle w:val="Normalny"/>
        <w:numPr>
          <w:ilvl w:val="0"/>
          <w:numId w:val="2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w § 32:</w:t>
      </w:r>
    </w:p>
    <w:p>
      <w:pPr>
        <w:pStyle w:val="Normalny"/>
        <w:ind w:left="284" w:hanging="0"/>
        <w:jc w:val="both"/>
        <w:rPr>
          <w:rFonts w:cs="Times New Roman"/>
        </w:rPr>
      </w:pPr>
      <w:r>
        <w:rPr>
          <w:rFonts w:cs="Times New Roman"/>
        </w:rPr>
        <w:t>a) pkt 10 otrzymuje brzmienie:</w:t>
      </w:r>
    </w:p>
    <w:p>
      <w:pPr>
        <w:pStyle w:val="Normalny"/>
        <w:ind w:left="284" w:hanging="0"/>
        <w:jc w:val="both"/>
        <w:rPr/>
      </w:pPr>
      <w:r>
        <w:rPr>
          <w:rStyle w:val="Domylnaczcionkaakapitu"/>
          <w:rFonts w:cs="Times New Roman"/>
        </w:rPr>
        <w:t>„</w:t>
      </w:r>
      <w:r>
        <w:rPr>
          <w:rStyle w:val="Domylnaczcionkaakapitu"/>
          <w:rFonts w:cs="Times New Roman"/>
        </w:rPr>
        <w:t xml:space="preserve">10) </w:t>
      </w:r>
      <w:r>
        <w:rPr>
          <w:rStyle w:val="Domylnaczcionkaakapitu"/>
          <w:rFonts w:cs="Times New Roman"/>
          <w:spacing w:val="-4"/>
        </w:rPr>
        <w:t xml:space="preserve">obsługa i techniczne utrzymanie systemów łączności i informatyki, w tym środków </w:t>
      </w:r>
      <w:r>
        <w:rPr>
          <w:rStyle w:val="Domylnaczcionkaakapitu"/>
          <w:rFonts w:cs="Times New Roman"/>
        </w:rPr>
        <w:t xml:space="preserve">łączności wykorzystywanych przez komórki organizacyjne BSWP, CBŚP i CBZC znajdujące się </w:t>
      </w:r>
      <w:r>
        <w:rPr>
          <w:rStyle w:val="Domylnaczcionkaakapitu"/>
          <w:rFonts w:cs="Times New Roman"/>
          <w:spacing w:val="-4"/>
        </w:rPr>
        <w:t>na obszarze terytorialnego zasięgu działania Komendanta;</w:t>
      </w:r>
      <w:r>
        <w:rPr>
          <w:rStyle w:val="Domylnaczcionkaakapitu"/>
          <w:rFonts w:cs="Times New Roman"/>
        </w:rPr>
        <w:t>”,</w:t>
      </w:r>
    </w:p>
    <w:p>
      <w:pPr>
        <w:pStyle w:val="Normalny"/>
        <w:ind w:left="284" w:hanging="0"/>
        <w:jc w:val="both"/>
        <w:rPr>
          <w:rFonts w:cs="Times New Roman"/>
        </w:rPr>
      </w:pPr>
      <w:r>
        <w:rPr>
          <w:rFonts w:cs="Times New Roman"/>
        </w:rPr>
        <w:t>b) w pkt 20 kropkę zastępuje się średnikiem i dodaje się pkt 21 - 22 w brzmieniu:</w:t>
      </w:r>
    </w:p>
    <w:p>
      <w:pPr>
        <w:pStyle w:val="Normalny"/>
        <w:ind w:left="284" w:hanging="0"/>
        <w:jc w:val="both"/>
        <w:rPr>
          <w:rFonts w:cs="Times New Roman"/>
        </w:rPr>
      </w:pPr>
      <w:r>
        <w:rPr>
          <w:rFonts w:cs="Times New Roman"/>
        </w:rPr>
        <w:t>„</w:t>
      </w:r>
      <w:r>
        <w:rPr>
          <w:rFonts w:cs="Times New Roman"/>
        </w:rPr>
        <w:t>21) projektowanie i wdrażanie rozwiązań teleinformatycznych w obszarze zapewnienia właściwego poziomu cyberbezpieczeństwa zasobów informacyjnych w Policji;</w:t>
      </w:r>
    </w:p>
    <w:p>
      <w:pPr>
        <w:pStyle w:val="Akapitzlist"/>
        <w:ind w:left="567" w:hanging="283"/>
        <w:jc w:val="both"/>
        <w:rPr/>
      </w:pPr>
      <w:r>
        <w:rPr/>
        <w:t>22) utrzymanie, administrowanie oraz rozbudowa infrastruktury i obiektów Systemu Radiokomunikacyjnego Policji – Tetra na obszarze terytorialnego zasięgu działania Komendanta.”;</w:t>
      </w:r>
    </w:p>
    <w:p>
      <w:pPr>
        <w:pStyle w:val="Normalny"/>
        <w:numPr>
          <w:ilvl w:val="0"/>
          <w:numId w:val="2"/>
        </w:numPr>
        <w:tabs>
          <w:tab w:val="left" w:pos="220" w:leader="none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w § 36:</w:t>
      </w:r>
    </w:p>
    <w:p>
      <w:pPr>
        <w:pStyle w:val="Akapitzlist"/>
        <w:numPr>
          <w:ilvl w:val="0"/>
          <w:numId w:val="3"/>
        </w:numPr>
        <w:tabs>
          <w:tab w:val="left" w:pos="379" w:leader="none"/>
        </w:tabs>
        <w:jc w:val="both"/>
        <w:rPr>
          <w:rFonts w:cs="Times New Roman"/>
        </w:rPr>
      </w:pPr>
      <w:r>
        <w:rPr>
          <w:rFonts w:cs="Times New Roman"/>
        </w:rPr>
        <w:t>pkt 10 otrzymuje brzmienie:</w:t>
      </w:r>
    </w:p>
    <w:p>
      <w:pPr>
        <w:pStyle w:val="Akapitzlist"/>
        <w:tabs>
          <w:tab w:val="left" w:pos="-510" w:leader="none"/>
        </w:tabs>
        <w:ind w:left="1077" w:hanging="510"/>
        <w:jc w:val="both"/>
        <w:rPr/>
      </w:pPr>
      <w:r>
        <w:rPr>
          <w:rStyle w:val="Domylnaczcionkaakapitu"/>
          <w:rFonts w:cs="Times New Roman"/>
        </w:rPr>
        <w:t>„</w:t>
      </w:r>
      <w:r>
        <w:rPr>
          <w:rStyle w:val="Domylnaczcionkaakapitu"/>
          <w:rFonts w:cs="Times New Roman"/>
        </w:rPr>
        <w:t>10)</w:t>
        <w:tab/>
      </w:r>
      <w:r>
        <w:rPr/>
        <w:t>wizytowanie policyjnych pomieszczeń dla osób zatrzymanych lub doprowadzonych w celu wytrzeźwienia oraz policyjnej izby dziecka w zakresie przestrzegania praw człowieka, zasady równego traktowania oraz zasad etyki zawodowej przez policjantów i pracowników wykonujących zadania w podległych jednostkach i komórkach organizacyjnych;</w:t>
      </w:r>
      <w:r>
        <w:rPr>
          <w:rStyle w:val="Domylnaczcionkaakapitu"/>
          <w:rFonts w:cs="Times New Roman"/>
        </w:rPr>
        <w:t>”</w:t>
      </w:r>
    </w:p>
    <w:p>
      <w:pPr>
        <w:pStyle w:val="Akapitzlist"/>
        <w:numPr>
          <w:ilvl w:val="0"/>
          <w:numId w:val="3"/>
        </w:numPr>
        <w:tabs>
          <w:tab w:val="left" w:pos="379" w:leader="none"/>
        </w:tabs>
        <w:jc w:val="both"/>
        <w:rPr>
          <w:rFonts w:cs="Times New Roman"/>
        </w:rPr>
      </w:pPr>
      <w:r>
        <w:rPr>
          <w:rFonts w:cs="Times New Roman"/>
        </w:rPr>
        <w:t>pkt 12 otrzymuje brzmienie:</w:t>
      </w:r>
    </w:p>
    <w:p>
      <w:pPr>
        <w:pStyle w:val="Normalny"/>
        <w:ind w:left="1077" w:hanging="510"/>
        <w:jc w:val="both"/>
        <w:rPr/>
      </w:pPr>
      <w:r>
        <w:rPr>
          <w:rStyle w:val="Domylnaczcionkaakapitu"/>
          <w:rFonts w:cs="Times New Roman"/>
        </w:rPr>
        <w:t>„</w:t>
      </w:r>
      <w:r>
        <w:rPr>
          <w:rStyle w:val="Domylnaczcionkaakapitu"/>
          <w:rFonts w:cs="Times New Roman"/>
        </w:rPr>
        <w:t>12)</w:t>
        <w:tab/>
      </w:r>
      <w:r>
        <w:rPr>
          <w:rStyle w:val="Domylnaczcionkaakapitu"/>
          <w:rFonts w:cs="Times New Roman"/>
          <w:color w:val="000000"/>
        </w:rPr>
        <w:t>współdziałanie i wymiana doświadczeń z KGP, komendami wojewódzkimi (Stołeczną) Policji, CBŚP, BSWP, CBZC, Wyższą Szkołą Policji w Szczytnie                     i szkołami policyjnymi w realizacji zadań z zakresu ochrony praw człowieka, reali</w:t>
        <w:softHyphen/>
        <w:t>zacji zasady równego traktowania oraz przestrzegania zasad etyki zawodowej                    w Policji;</w:t>
      </w:r>
      <w:r>
        <w:rPr>
          <w:rStyle w:val="Domylnaczcionkaakapitu"/>
          <w:rFonts w:cs="Times New Roman"/>
        </w:rPr>
        <w:t>”;</w:t>
      </w:r>
    </w:p>
    <w:p>
      <w:pPr>
        <w:pStyle w:val="Akapitzlist"/>
        <w:numPr>
          <w:ilvl w:val="0"/>
          <w:numId w:val="2"/>
        </w:numPr>
        <w:ind w:left="518" w:hanging="51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załącznik do regulaminu otrzymuje brzmienie określone w załączniku do niniejszego regulaminu.</w:t>
      </w:r>
    </w:p>
    <w:p>
      <w:pPr>
        <w:pStyle w:val="Normalny"/>
        <w:rPr/>
      </w:pPr>
      <w:r>
        <w:rPr/>
      </w:r>
    </w:p>
    <w:p>
      <w:pPr>
        <w:pStyle w:val="Tekstpodstawowy22"/>
        <w:spacing w:lineRule="auto" w:line="240"/>
        <w:ind w:firstLine="425"/>
        <w:rPr/>
      </w:pPr>
      <w:r>
        <w:rPr>
          <w:rStyle w:val="Domylnaczcionkaakapitu"/>
          <w:rFonts w:eastAsia="Arial" w:cs="Times New Roman"/>
          <w:b/>
          <w:bCs/>
          <w:color w:val="000000"/>
          <w:spacing w:val="-2"/>
        </w:rPr>
        <w:t xml:space="preserve">§ 2. </w:t>
      </w:r>
      <w:r>
        <w:rPr>
          <w:rStyle w:val="Domylnaczcionkaakapitu"/>
          <w:rFonts w:eastAsia="Arial" w:cs="Times New Roman"/>
          <w:color w:val="000000"/>
          <w:spacing w:val="-2"/>
        </w:rPr>
        <w:t>Kierownicy są obowiązani do niezwłocznego zapoznania policjantów i pracowników Policji z postanowieniami niniejszego regulaminu, a także do dostosowania, w uzgodnieniu z komórką organizacyjną Komendy właściwą w sprawach organizacji Policji - w terminie do 30 dni od dnia wejścia w życie regulaminu - szczegółowych zadań komórek organizacyjnych Komendy oraz kart opisu stanowisk pracy i opisów stanowisk pracy do przepisów niniejszego regulaminu.</w:t>
      </w:r>
    </w:p>
    <w:p>
      <w:pPr>
        <w:pStyle w:val="Tekstpodstawowy22"/>
        <w:tabs>
          <w:tab w:val="left" w:pos="567" w:leader="none"/>
          <w:tab w:val="left" w:pos="1276" w:leader="none"/>
          <w:tab w:val="left" w:pos="1701" w:leader="none"/>
        </w:tabs>
        <w:spacing w:lineRule="auto" w:line="240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Tekstpodstawowy22"/>
        <w:spacing w:lineRule="auto" w:line="240"/>
        <w:ind w:firstLine="425"/>
        <w:rPr/>
      </w:pPr>
      <w:r>
        <w:rPr>
          <w:rStyle w:val="Domylnaczcionkaakapitu"/>
          <w:rFonts w:eastAsia="Arial" w:cs="Times New Roman"/>
          <w:b/>
          <w:bCs/>
          <w:color w:val="000000"/>
          <w:spacing w:val="-2"/>
        </w:rPr>
        <w:t xml:space="preserve">§ 3. </w:t>
      </w:r>
      <w:r>
        <w:rPr>
          <w:rStyle w:val="Domylnaczcionkaakapitu"/>
          <w:rFonts w:cs="Times New Roman"/>
          <w:color w:val="000000"/>
        </w:rPr>
        <w:t>Regulamin wchodzi w życie z dniem podpisania, z mocą od dnia 12 lipca 2022 r., z wyjątkiem § 1:</w:t>
      </w:r>
    </w:p>
    <w:p>
      <w:pPr>
        <w:pStyle w:val="Tekstpodstawowy22"/>
        <w:numPr>
          <w:ilvl w:val="0"/>
          <w:numId w:val="4"/>
        </w:numPr>
        <w:spacing w:lineRule="auto" w:line="240"/>
        <w:ind w:left="284" w:hanging="284"/>
        <w:rPr>
          <w:rFonts w:cs="Times New Roman"/>
        </w:rPr>
      </w:pPr>
      <w:bookmarkStart w:id="0" w:name="_Hlk110855472"/>
      <w:bookmarkEnd w:id="0"/>
      <w:r>
        <w:rPr>
          <w:rFonts w:cs="Times New Roman"/>
        </w:rPr>
        <w:t xml:space="preserve">pkt 9 lit. b, w zakresie dodawanego pkt 22, który wchodzi w życie z dniem 15 sierpnia 2022 r.; </w:t>
      </w:r>
    </w:p>
    <w:p>
      <w:pPr>
        <w:pStyle w:val="Tekstpodstawowy22"/>
        <w:numPr>
          <w:ilvl w:val="0"/>
          <w:numId w:val="4"/>
        </w:numPr>
        <w:spacing w:lineRule="auto" w:line="240"/>
        <w:ind w:left="284" w:hanging="284"/>
        <w:rPr/>
      </w:pPr>
      <w:bookmarkStart w:id="1" w:name="_Hlk110855472"/>
      <w:bookmarkEnd w:id="1"/>
      <w:r>
        <w:rPr>
          <w:rStyle w:val="Domylnaczcionkaakapitu"/>
          <w:rFonts w:cs="Times New Roman"/>
          <w:color w:val="000000"/>
        </w:rPr>
        <w:t>pkt 5 i 10 lit. a, które wchodzą w życie z dniem 1 października 2022 r.</w:t>
      </w:r>
    </w:p>
    <w:p>
      <w:pPr>
        <w:pStyle w:val="Tekstpodstawowy22"/>
        <w:spacing w:lineRule="auto" w:line="276"/>
        <w:ind w:firstLine="425"/>
        <w:rPr/>
      </w:pPr>
      <w:r>
        <w:rPr/>
      </w:r>
    </w:p>
    <w:p>
      <w:pPr>
        <w:pStyle w:val="Tekstpodstawowy22"/>
        <w:spacing w:lineRule="auto" w:line="276"/>
        <w:ind w:firstLine="425"/>
        <w:rPr/>
      </w:pPr>
      <w:r>
        <w:rPr/>
      </w:r>
    </w:p>
    <w:p>
      <w:pPr>
        <w:pStyle w:val="Tekstpodstawowy22"/>
        <w:spacing w:lineRule="auto" w:line="276"/>
        <w:ind w:firstLine="425"/>
        <w:rPr/>
      </w:pPr>
      <w:r>
        <w:rPr/>
      </w:r>
    </w:p>
    <w:tbl>
      <w:tblPr>
        <w:tblW w:w="9545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772"/>
        <w:gridCol w:w="4773"/>
      </w:tblGrid>
      <w:tr>
        <w:trPr/>
        <w:tc>
          <w:tcPr>
            <w:tcW w:w="4772" w:type="dxa"/>
            <w:tcBorders/>
            <w:shd w:fill="auto" w:val="clear"/>
          </w:tcPr>
          <w:p>
            <w:pPr>
              <w:pStyle w:val="Normalny"/>
              <w:snapToGrid w:val="false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ny"/>
              <w:snapToGrid w:val="false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ny"/>
              <w:snapToGrid w:val="false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ny"/>
              <w:snapToGrid w:val="false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ny"/>
              <w:snapToGrid w:val="false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ny"/>
              <w:snapToGrid w:val="false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ny"/>
              <w:snapToGrid w:val="false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773" w:type="dxa"/>
            <w:tcBorders/>
            <w:shd w:fill="auto" w:val="clear"/>
          </w:tcPr>
          <w:p>
            <w:pPr>
              <w:pStyle w:val="Normalny"/>
              <w:tabs>
                <w:tab w:val="left" w:pos="567" w:leader="none"/>
                <w:tab w:val="left" w:pos="1276" w:leader="none"/>
                <w:tab w:val="left" w:pos="1701" w:leader="none"/>
              </w:tabs>
              <w:spacing w:lineRule="auto" w:line="276" w:before="120" w:after="160"/>
              <w:jc w:val="both"/>
              <w:rPr/>
            </w:pPr>
            <w:r>
              <w:rPr>
                <w:rStyle w:val="Domylnaczcionkaakapitu"/>
                <w:rFonts w:cs="Times New Roman"/>
                <w:b/>
              </w:rPr>
              <w:t>KOMENDANT WOJEWÓDZKI POLICJI</w:t>
            </w:r>
          </w:p>
          <w:p>
            <w:pPr>
              <w:pStyle w:val="Normalny"/>
              <w:tabs>
                <w:tab w:val="left" w:pos="567" w:leader="none"/>
                <w:tab w:val="left" w:pos="1276" w:leader="none"/>
                <w:tab w:val="left" w:pos="1701" w:leader="none"/>
              </w:tabs>
              <w:spacing w:lineRule="auto" w:line="276"/>
              <w:jc w:val="both"/>
              <w:rPr/>
            </w:pPr>
            <w:r>
              <w:rPr>
                <w:rStyle w:val="Domylnaczcionkaakapitu"/>
                <w:rFonts w:cs="Times New Roman"/>
                <w:b/>
              </w:rPr>
              <w:t xml:space="preserve">                      </w:t>
            </w:r>
            <w:r>
              <w:rPr>
                <w:rStyle w:val="Domylnaczcionkaakapitu"/>
                <w:rFonts w:cs="Times New Roman"/>
                <w:b/>
              </w:rPr>
              <w:t>W SZCZECINIE</w:t>
            </w:r>
          </w:p>
          <w:p>
            <w:pPr>
              <w:pStyle w:val="Normalny"/>
              <w:tabs>
                <w:tab w:val="left" w:pos="567" w:leader="none"/>
                <w:tab w:val="left" w:pos="1276" w:leader="none"/>
                <w:tab w:val="left" w:pos="1701" w:leader="none"/>
              </w:tabs>
              <w:spacing w:lineRule="auto" w:line="276"/>
              <w:jc w:val="both"/>
              <w:rPr/>
            </w:pPr>
            <w:r>
              <w:rPr>
                <w:rStyle w:val="Domylnaczcionkaakapitu"/>
                <w:rFonts w:cs="Times New Roman"/>
                <w:b/>
              </w:rPr>
              <w:t xml:space="preserve">                </w:t>
            </w:r>
            <w:r>
              <w:rPr>
                <w:rStyle w:val="Domylnaczcionkaakapitu"/>
                <w:rFonts w:cs="Times New Roman"/>
                <w:b/>
              </w:rPr>
              <w:t>nadinsp. Tomasz Trawiński</w:t>
            </w:r>
          </w:p>
        </w:tc>
      </w:tr>
    </w:tbl>
    <w:p>
      <w:pPr>
        <w:pStyle w:val="Normalny"/>
        <w:tabs>
          <w:tab w:val="left" w:pos="993" w:leader="none"/>
          <w:tab w:val="left" w:pos="1701" w:leader="none"/>
        </w:tabs>
        <w:snapToGrid w:val="false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ab/>
        <w:t>W porozumieniu:</w:t>
      </w:r>
    </w:p>
    <w:p>
      <w:pPr>
        <w:pStyle w:val="Normalny"/>
        <w:keepNext w:val="true"/>
        <w:tabs>
          <w:tab w:val="left" w:pos="0" w:leader="none"/>
          <w:tab w:val="left" w:pos="567" w:leader="none"/>
          <w:tab w:val="left" w:pos="1276" w:leader="none"/>
          <w:tab w:val="left" w:pos="1701" w:leader="none"/>
        </w:tabs>
        <w:spacing w:lineRule="auto" w:line="276" w:before="120" w:after="160"/>
        <w:jc w:val="both"/>
        <w:rPr/>
      </w:pPr>
      <w:r>
        <w:rPr>
          <w:rStyle w:val="Domylnaczcionkaakapitu"/>
          <w:rFonts w:cs="Times New Roman"/>
          <w:b/>
        </w:rPr>
        <w:t>KOMENDANT GŁÓWNY POLICJI</w:t>
      </w:r>
    </w:p>
    <w:p>
      <w:pPr>
        <w:pStyle w:val="Normalny"/>
        <w:tabs>
          <w:tab w:val="left" w:pos="567" w:leader="none"/>
          <w:tab w:val="left" w:pos="1276" w:leader="none"/>
          <w:tab w:val="left" w:pos="1701" w:leader="none"/>
        </w:tabs>
        <w:spacing w:lineRule="auto" w:line="276"/>
        <w:jc w:val="both"/>
        <w:rPr/>
      </w:pPr>
      <w:r>
        <w:rPr>
          <w:rStyle w:val="Domylnaczcionkaakapitu"/>
          <w:rFonts w:eastAsia="Times New Roman" w:cs="Times New Roman"/>
          <w:b/>
          <w:bCs/>
        </w:rPr>
        <w:t xml:space="preserve">    </w:t>
      </w:r>
      <w:r>
        <w:rPr>
          <w:rStyle w:val="Domylnaczcionkaakapitu"/>
          <w:rFonts w:cs="Times New Roman"/>
          <w:b/>
          <w:bCs/>
        </w:rPr>
        <w:t>gen. insp. Jarosław Szymczyk</w:t>
      </w:r>
      <w:r>
        <w:br w:type="page"/>
      </w:r>
    </w:p>
    <w:p>
      <w:pPr>
        <w:pStyle w:val="Normalny"/>
        <w:tabs>
          <w:tab w:val="left" w:pos="567" w:leader="none"/>
          <w:tab w:val="left" w:pos="1276" w:leader="none"/>
          <w:tab w:val="left" w:pos="1701" w:leader="none"/>
        </w:tabs>
        <w:spacing w:lineRule="auto" w:line="276"/>
        <w:jc w:val="center"/>
        <w:rPr/>
      </w:pPr>
      <w:r>
        <w:rPr>
          <w:rStyle w:val="Domylnaczcionkaakapitu"/>
          <w:rFonts w:cs="Times New Roman"/>
          <w:b/>
          <w:bCs/>
        </w:rPr>
        <w:t>Uzasadnienie</w:t>
      </w:r>
    </w:p>
    <w:p>
      <w:pPr>
        <w:pStyle w:val="Normalny"/>
        <w:tabs>
          <w:tab w:val="left" w:pos="567" w:leader="none"/>
          <w:tab w:val="left" w:pos="1276" w:leader="none"/>
          <w:tab w:val="left" w:pos="1701" w:leader="none"/>
        </w:tabs>
        <w:spacing w:lineRule="auto" w:line="276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ny"/>
        <w:spacing w:lineRule="auto" w:line="276"/>
        <w:ind w:firstLine="425"/>
        <w:jc w:val="both"/>
        <w:rPr/>
      </w:pPr>
      <w:r>
        <w:rPr>
          <w:rStyle w:val="Domylnaczcionkaakapitu"/>
          <w:rFonts w:cs="Times New Roman"/>
          <w:color w:val="000000"/>
        </w:rPr>
        <w:t xml:space="preserve">Na podstawie art. 6g ustawy z dnia 6 kwietnia 1990 r. </w:t>
      </w:r>
      <w:r>
        <w:rPr>
          <w:rStyle w:val="Domylnaczcionkaakapitu"/>
          <w:rFonts w:cs="Times New Roman"/>
          <w:i/>
          <w:iCs/>
          <w:color w:val="000000"/>
        </w:rPr>
        <w:t>o Policji</w:t>
      </w:r>
      <w:r>
        <w:rPr>
          <w:rStyle w:val="Domylnaczcionkaakapitu"/>
          <w:rFonts w:cs="Times New Roman"/>
          <w:i/>
          <w:color w:val="000000"/>
        </w:rPr>
        <w:t xml:space="preserve"> </w:t>
      </w:r>
      <w:r>
        <w:rPr>
          <w:rStyle w:val="Domylnaczcionkaakapitu"/>
          <w:rFonts w:cs="Times New Roman"/>
          <w:color w:val="000000"/>
        </w:rPr>
        <w:t>(</w:t>
      </w:r>
      <w:r>
        <w:rPr>
          <w:rStyle w:val="Domylnaczcionkaakapitu"/>
          <w:rFonts w:cs="Times New Roman"/>
        </w:rPr>
        <w:t>Dz. U. z 2021 r. poz. 1882, 2333, 2447 i 2448 oraz z 2022 r. poz. 655, 1115 i 1488</w:t>
      </w:r>
      <w:r>
        <w:rPr>
          <w:rStyle w:val="Domylnaczcionkaakapitu"/>
          <w:rFonts w:cs="Times New Roman"/>
          <w:color w:val="000000"/>
        </w:rPr>
        <w:t>) Komendant Wojewódzki Policji w Szczecinie wykonuje swoje zadania przy pomocy podległej Komendy.</w:t>
      </w:r>
    </w:p>
    <w:p>
      <w:pPr>
        <w:pStyle w:val="Normalny"/>
        <w:spacing w:lineRule="auto" w:line="276"/>
        <w:ind w:firstLine="425"/>
        <w:jc w:val="both"/>
        <w:rPr/>
      </w:pPr>
      <w:r>
        <w:rPr>
          <w:rStyle w:val="Domylnaczcionkaakapitu"/>
          <w:rFonts w:cs="Times New Roman"/>
          <w:color w:val="000000"/>
        </w:rPr>
        <w:t xml:space="preserve">Uwzględniając przepis art. 7 ust. 4 ustawy z dnia 6 kwietnia 1990 r. </w:t>
      </w:r>
      <w:r>
        <w:rPr>
          <w:rStyle w:val="Domylnaczcionkaakapitu"/>
          <w:rFonts w:cs="Times New Roman"/>
          <w:i/>
          <w:iCs/>
          <w:color w:val="000000"/>
        </w:rPr>
        <w:t>o Policji</w:t>
      </w:r>
      <w:r>
        <w:rPr>
          <w:rStyle w:val="Domylnaczcionkaakapitu"/>
          <w:rFonts w:cs="Times New Roman"/>
          <w:color w:val="000000"/>
        </w:rPr>
        <w:t xml:space="preserve"> Komendant Wojewódzki Policji w Szczecinie zobowiązany jest ustalić regulamin Komendy Wojewódzkiej Policji w Szczecinie w porozumieniu z Komendantem Głównym Policji.</w:t>
      </w:r>
    </w:p>
    <w:p>
      <w:pPr>
        <w:pStyle w:val="Normalny"/>
        <w:spacing w:lineRule="auto" w:line="276"/>
        <w:ind w:firstLine="425"/>
        <w:jc w:val="both"/>
        <w:rPr>
          <w:rFonts w:cs="Times New Roman"/>
        </w:rPr>
      </w:pPr>
      <w:r>
        <w:rPr>
          <w:rFonts w:cs="Times New Roman"/>
        </w:rPr>
        <w:t>Regulamin zmieniający regulamin Komendy Wojewódzkiej Policji w Szczecinie opracowany został w związku z:</w:t>
      </w:r>
    </w:p>
    <w:p>
      <w:pPr>
        <w:pStyle w:val="Akapitzlist"/>
        <w:numPr>
          <w:ilvl w:val="0"/>
          <w:numId w:val="5"/>
        </w:numPr>
        <w:spacing w:lineRule="auto" w:line="276"/>
        <w:ind w:left="142" w:hanging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likwidacją Wydziału do walki z Cyberprzestępczością Komendy Wojewódzkiej Policji w Szczecinie,</w:t>
      </w:r>
    </w:p>
    <w:p>
      <w:pPr>
        <w:pStyle w:val="Akapitzlist"/>
        <w:numPr>
          <w:ilvl w:val="0"/>
          <w:numId w:val="5"/>
        </w:numPr>
        <w:spacing w:lineRule="auto" w:line="276"/>
        <w:ind w:left="142" w:hanging="142"/>
        <w:jc w:val="both"/>
        <w:rPr/>
      </w:pPr>
      <w:r>
        <w:rPr>
          <w:rStyle w:val="Domylnaczcionkaakapitu"/>
          <w:rFonts w:cs="Times New Roman"/>
          <w:szCs w:val="24"/>
        </w:rPr>
        <w:t>dodaniem nowych zadań do Wydziału Wywiadu Kryminalnego oraz Laboratorium Kryminalistycznego w związku z ustawą z dnia 17 grudnia 2021 r. o zmianie niektórych ustaw w związku z powołaniem Centralnego Biura Zwalczania Cyberprzestępczości (Dz. U. poz. 2447), zważywszy na powołanie Centralnego Biura Zwalczania Cyberprzestępczości oraz z uwagi na przejęcie części zadań przez Komendy Wojewódzkie Policji, w celu ustandaryzowania czynności pionu kryminalnego,</w:t>
      </w:r>
    </w:p>
    <w:p>
      <w:pPr>
        <w:pStyle w:val="Akapitzlist"/>
        <w:numPr>
          <w:ilvl w:val="0"/>
          <w:numId w:val="5"/>
        </w:numPr>
        <w:spacing w:lineRule="auto" w:line="276"/>
        <w:ind w:left="142" w:hanging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planowanym wprowadzeniem zmiany organizacyjno-etatowej w Wydziale Konwojowym Komendy Wojewódzkiej Policji w Szczecinie, polegającej na zniesieniu Policyjnej Izby Dziecka z siedzibą w Koszalinie,</w:t>
      </w:r>
    </w:p>
    <w:p>
      <w:pPr>
        <w:pStyle w:val="Akapitzlist"/>
        <w:numPr>
          <w:ilvl w:val="0"/>
          <w:numId w:val="5"/>
        </w:numPr>
        <w:spacing w:lineRule="auto" w:line="276"/>
        <w:ind w:left="142" w:hanging="142"/>
        <w:jc w:val="both"/>
        <w:rPr/>
      </w:pPr>
      <w:r>
        <w:rPr>
          <w:rStyle w:val="Domylnaczcionkaakapitu"/>
          <w:rFonts w:cs="Times New Roman"/>
        </w:rPr>
        <w:t>powiększeniem zakresu zadań Wydziału Finansów, Wydziału Zaopatrzenia i Inwestycji, Wydziału Transportu, Wydziału Łączności i Informatyki oraz Zespołu do spraw Ochrony Praw Człowieka w wyniku powołania Centralnego Biura Zwalczania Cyberprzestępczości,</w:t>
      </w:r>
    </w:p>
    <w:p>
      <w:pPr>
        <w:pStyle w:val="Akapitzlist"/>
        <w:numPr>
          <w:ilvl w:val="0"/>
          <w:numId w:val="5"/>
        </w:numPr>
        <w:spacing w:lineRule="auto" w:line="276"/>
        <w:ind w:left="142" w:hanging="142"/>
        <w:jc w:val="both"/>
        <w:rPr/>
      </w:pPr>
      <w:r>
        <w:rPr>
          <w:rStyle w:val="Domylnaczcionkaakapitu"/>
          <w:rFonts w:cs="Times New Roman"/>
        </w:rPr>
        <w:t>powiększeniem zakresu zadań Wydziału Łączności i Informatyki w związku z uruchomieniem systemu cyfrowej łączności radiowej TETRA TEA2 dla pionu kontrterrorystycznego oraz pozostałych pionów Policji.</w:t>
      </w:r>
    </w:p>
    <w:p>
      <w:pPr>
        <w:pStyle w:val="Normalny"/>
        <w:spacing w:lineRule="auto" w:line="276"/>
        <w:ind w:firstLine="425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ekstpodstawowy22"/>
        <w:spacing w:lineRule="auto" w:line="276"/>
        <w:ind w:firstLine="425"/>
        <w:rPr/>
      </w:pPr>
      <w:r>
        <w:rPr>
          <w:rStyle w:val="Domylnaczcionkaakapitu"/>
          <w:rFonts w:cs="Times New Roman"/>
        </w:rPr>
        <w:t>W związku z powołaniem Centralnego Biura Zwalczania Cyberprzestępczości i likwidacją Wydziału do walki z Cyberprzestępczością Komendy Wojewódzkiej Policji w Szczecinie                        z dniem 12 lipca 2022 r., jednocześnie przejęciem części zadań przez Komendę Wojewódzką Policji w Szczecinie w celu ustandaryzowania czynności pionu kryminalnego, regulamin wchodzi w życie z dniem podpisania, z mocą od dnia 12 lipca 2022 r. z wyjątkiem § 1 pkt 9 lit. b, w zakresie dodawanego pkt 22, który wchodzi w życie z dniem 15 sierpnia 2022 r. oraz §1 pkt 5 i 10 lit. a, które wchodzą w życie z dniem 1 października 2022 r.</w:t>
      </w:r>
    </w:p>
    <w:p>
      <w:pPr>
        <w:pStyle w:val="Normalny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ny"/>
        <w:spacing w:lineRule="auto" w:line="276"/>
        <w:ind w:firstLine="425"/>
        <w:jc w:val="both"/>
        <w:rPr>
          <w:rFonts w:cs="Times New Roman"/>
        </w:rPr>
      </w:pPr>
      <w:r>
        <w:rPr>
          <w:rFonts w:cs="Times New Roman"/>
        </w:rPr>
        <w:t>Wejście w życie przedmiotowego aktu prawnego powoduje skutki finansowe, które znajdują pokrycie w budżecie Komedy Wojewódzkiej Policji w Szczecinie.</w:t>
      </w:r>
    </w:p>
    <w:p>
      <w:pPr>
        <w:pStyle w:val="Normalny"/>
        <w:spacing w:lineRule="auto" w:line="276"/>
        <w:rPr/>
      </w:pPr>
      <w:r>
        <w:rPr>
          <w:rStyle w:val="Domylnaczcionkaakapitu"/>
          <w:rFonts w:cs="Times New Roman"/>
        </w:rPr>
        <w:t xml:space="preserve"> </w:t>
      </w:r>
    </w:p>
    <w:sectPr>
      <w:footnotePr>
        <w:numFmt w:val="decimal"/>
      </w:footnote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kstprzypisudolnego"/>
        <w:spacing w:before="0" w:after="200"/>
        <w:ind w:left="0" w:hanging="0"/>
        <w:jc w:val="both"/>
        <w:rPr/>
      </w:pPr>
      <w:r>
        <w:rPr>
          <w:rStyle w:val="Domylnaczcionkaakapitu"/>
          <w:rFonts w:ascii="Times New Roman" w:hAnsi="Times New Roman"/>
        </w:rPr>
        <w:footnoteRef/>
        <w:tab/>
        <w:t xml:space="preserve"> </w:t>
      </w:r>
      <w:r>
        <w:rPr>
          <w:rStyle w:val="Domylnaczcionkaakapitu"/>
          <w:rFonts w:ascii="Times New Roman" w:hAnsi="Times New Roman"/>
        </w:rPr>
        <w:t xml:space="preserve">Zmiany tekstu jednolitego wymienionej ustawy zostały ogłoszone w Dz. U. z 2021 r. poz. </w:t>
      </w:r>
      <w:r>
        <w:rPr>
          <w:rStyle w:val="Domylnaczcionkaakapitu"/>
          <w:rFonts w:eastAsia="Times New Roman" w:ascii="Times New Roman" w:hAnsi="Times New Roman"/>
          <w:lang w:eastAsia="pl-PL"/>
        </w:rPr>
        <w:t>2333, 2447 i 2448 oraz z 2022 r. poz. 655, 1115 i 1488.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)"/>
      <w:lvlJc w:val="left"/>
      <w:pPr>
        <w:ind w:left="1145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208" w:hanging="360"/>
      </w:pPr>
    </w:lvl>
    <w:lvl w:ilvl="1">
      <w:start w:val="1"/>
      <w:numFmt w:val="lowerLetter"/>
      <w:lvlText w:val="%2."/>
      <w:lvlJc w:val="left"/>
      <w:pPr>
        <w:ind w:left="1928" w:hanging="360"/>
      </w:pPr>
    </w:lvl>
    <w:lvl w:ilvl="2">
      <w:start w:val="1"/>
      <w:numFmt w:val="lowerRoman"/>
      <w:lvlText w:val="%3."/>
      <w:lvlJc w:val="right"/>
      <w:pPr>
        <w:ind w:left="2648" w:hanging="180"/>
      </w:pPr>
    </w:lvl>
    <w:lvl w:ilvl="3">
      <w:start w:val="1"/>
      <w:numFmt w:val="decimal"/>
      <w:lvlText w:val="%4."/>
      <w:lvlJc w:val="left"/>
      <w:pPr>
        <w:ind w:left="3368" w:hanging="360"/>
      </w:pPr>
    </w:lvl>
    <w:lvl w:ilvl="4">
      <w:start w:val="1"/>
      <w:numFmt w:val="lowerLetter"/>
      <w:lvlText w:val="%5."/>
      <w:lvlJc w:val="left"/>
      <w:pPr>
        <w:ind w:left="4088" w:hanging="360"/>
      </w:pPr>
    </w:lvl>
    <w:lvl w:ilvl="5">
      <w:start w:val="1"/>
      <w:numFmt w:val="lowerRoman"/>
      <w:lvlText w:val="%6."/>
      <w:lvlJc w:val="right"/>
      <w:pPr>
        <w:ind w:left="4808" w:hanging="180"/>
      </w:pPr>
    </w:lvl>
    <w:lvl w:ilvl="6">
      <w:start w:val="1"/>
      <w:numFmt w:val="decimal"/>
      <w:lvlText w:val="%7."/>
      <w:lvlJc w:val="left"/>
      <w:pPr>
        <w:ind w:left="5528" w:hanging="360"/>
      </w:pPr>
    </w:lvl>
    <w:lvl w:ilvl="7">
      <w:start w:val="1"/>
      <w:numFmt w:val="lowerLetter"/>
      <w:lvlText w:val="%8."/>
      <w:lvlJc w:val="left"/>
      <w:pPr>
        <w:ind w:left="6248" w:hanging="360"/>
      </w:pPr>
    </w:lvl>
    <w:lvl w:ilvl="8">
      <w:start w:val="1"/>
      <w:numFmt w:val="lowerRoman"/>
      <w:lvlText w:val="%9."/>
      <w:lvlJc w:val="right"/>
      <w:pPr>
        <w:ind w:left="6968" w:hanging="180"/>
      </w:pPr>
    </w:lvl>
  </w:abstractNum>
  <w:abstractNum w:abstractNumId="5">
    <w:lvl w:ilvl="0">
      <w:start w:val="1"/>
      <w:numFmt w:val="bullet"/>
      <w:lvlText w:val="­"/>
      <w:lvlJc w:val="left"/>
      <w:pPr>
        <w:ind w:left="119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5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1">
    <w:name w:val="Heading 1"/>
    <w:basedOn w:val="Normalny"/>
    <w:next w:val="Normalny"/>
    <w:qFormat/>
    <w:pPr>
      <w:numPr>
        <w:ilvl w:val="0"/>
        <w:numId w:val="1"/>
      </w:numPr>
      <w:suppressAutoHyphens w:val="true"/>
      <w:outlineLvl w:val="0"/>
    </w:pPr>
    <w:rPr/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rFonts w:ascii="Times New Roman" w:hAnsi="Times New Roman" w:eastAsia="Lucida Sans Unicode" w:cs="Mangal"/>
      <w:kern w:val="2"/>
      <w:sz w:val="20"/>
      <w:szCs w:val="18"/>
      <w:lang w:eastAsia="zh-CN" w:bidi="hi-IN"/>
    </w:rPr>
  </w:style>
  <w:style w:type="character" w:styleId="TematkomentarzaZnak">
    <w:name w:val="Temat komentarza Znak"/>
    <w:basedOn w:val="TekstkomentarzaZnak"/>
    <w:qFormat/>
    <w:rPr>
      <w:rFonts w:ascii="Times New Roman" w:hAnsi="Times New Roman" w:eastAsia="Lucida Sans Unicode" w:cs="Mangal"/>
      <w:b/>
      <w:bCs/>
      <w:kern w:val="2"/>
      <w:sz w:val="20"/>
      <w:szCs w:val="18"/>
      <w:lang w:eastAsia="zh-CN" w:bidi="hi-IN"/>
    </w:rPr>
  </w:style>
  <w:style w:type="character" w:styleId="TekstdymkaZnak">
    <w:name w:val="Tekst dymka Znak"/>
    <w:basedOn w:val="Domylnaczcionkaakapitu"/>
    <w:qFormat/>
    <w:rPr>
      <w:rFonts w:ascii="Segoe UI" w:hAnsi="Segoe UI" w:eastAsia="Lucida Sans Unicode" w:cs="Mangal"/>
      <w:kern w:val="2"/>
      <w:sz w:val="18"/>
      <w:szCs w:val="16"/>
      <w:lang w:eastAsia="zh-CN" w:bidi="hi-IN"/>
    </w:rPr>
  </w:style>
  <w:style w:type="character" w:styleId="Odwoanieprzypisudolnego">
    <w:name w:val="Odwołanie przypisu dolnego"/>
    <w:qFormat/>
    <w:rPr>
      <w:position w:val="22"/>
      <w:sz w:val="14"/>
    </w:rPr>
  </w:style>
  <w:style w:type="character" w:styleId="TekstprzypisudolnegoZnak">
    <w:name w:val="Tekst przypisu dolnego Znak"/>
    <w:basedOn w:val="Domylnaczcionkaakapitu"/>
    <w:qFormat/>
    <w:rPr>
      <w:color w:val="00000A"/>
      <w:kern w:val="2"/>
      <w:sz w:val="20"/>
      <w:szCs w:val="20"/>
    </w:rPr>
  </w:style>
  <w:style w:type="character" w:styleId="WWCharLFO31LVL1">
    <w:name w:val="WW_CharLFO31LVL1"/>
    <w:qFormat/>
    <w:rPr>
      <w:rFonts w:ascii="Arial" w:hAnsi="Arial"/>
    </w:rPr>
  </w:style>
  <w:style w:type="character" w:styleId="WWCharLFO31LVL2">
    <w:name w:val="WW_CharLFO31LVL2"/>
    <w:qFormat/>
    <w:rPr>
      <w:rFonts w:ascii="Courier New" w:hAnsi="Courier New" w:cs="Courier New"/>
    </w:rPr>
  </w:style>
  <w:style w:type="character" w:styleId="WWCharLFO31LVL3">
    <w:name w:val="WW_CharLFO31LVL3"/>
    <w:qFormat/>
    <w:rPr>
      <w:rFonts w:ascii="Wingdings" w:hAnsi="Wingdings"/>
    </w:rPr>
  </w:style>
  <w:style w:type="character" w:styleId="WWCharLFO31LVL4">
    <w:name w:val="WW_CharLFO31LVL4"/>
    <w:qFormat/>
    <w:rPr>
      <w:rFonts w:ascii="Symbol" w:hAnsi="Symbol"/>
    </w:rPr>
  </w:style>
  <w:style w:type="character" w:styleId="WWCharLFO31LVL5">
    <w:name w:val="WW_CharLFO31LVL5"/>
    <w:qFormat/>
    <w:rPr>
      <w:rFonts w:ascii="Courier New" w:hAnsi="Courier New" w:cs="Courier New"/>
    </w:rPr>
  </w:style>
  <w:style w:type="character" w:styleId="WWCharLFO31LVL6">
    <w:name w:val="WW_CharLFO31LVL6"/>
    <w:qFormat/>
    <w:rPr>
      <w:rFonts w:ascii="Wingdings" w:hAnsi="Wingdings"/>
    </w:rPr>
  </w:style>
  <w:style w:type="character" w:styleId="WWCharLFO31LVL7">
    <w:name w:val="WW_CharLFO31LVL7"/>
    <w:qFormat/>
    <w:rPr>
      <w:rFonts w:ascii="Symbol" w:hAnsi="Symbol"/>
    </w:rPr>
  </w:style>
  <w:style w:type="character" w:styleId="WWCharLFO31LVL8">
    <w:name w:val="WW_CharLFO31LVL8"/>
    <w:qFormat/>
    <w:rPr>
      <w:rFonts w:ascii="Courier New" w:hAnsi="Courier New" w:cs="Courier New"/>
    </w:rPr>
  </w:style>
  <w:style w:type="character" w:styleId="WWCharLFO31LVL9">
    <w:name w:val="WW_CharLFO31LVL9"/>
    <w:qFormat/>
    <w:rPr>
      <w:rFonts w:ascii="Wingdings" w:hAnsi="Wingdings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zh-CN" w:bidi="hi-IN"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Normalny"/>
    <w:qFormat/>
    <w:pPr>
      <w:suppressLineNumbers/>
      <w:suppressAutoHyphens w:val="true"/>
      <w:jc w:val="center"/>
    </w:pPr>
    <w:rPr>
      <w:b/>
      <w:bCs/>
    </w:rPr>
  </w:style>
  <w:style w:type="paragraph" w:styleId="Tekstkomentarza1">
    <w:name w:val="Tekst komentarza1"/>
    <w:basedOn w:val="Normalny"/>
    <w:qFormat/>
    <w:pPr>
      <w:suppressAutoHyphens w:val="true"/>
    </w:pPr>
    <w:rPr>
      <w:sz w:val="20"/>
      <w:szCs w:val="18"/>
    </w:rPr>
  </w:style>
  <w:style w:type="paragraph" w:styleId="Tekstpodstawowy22">
    <w:name w:val="Tekst podstawowy 22"/>
    <w:basedOn w:val="Normalny"/>
    <w:qFormat/>
    <w:pPr>
      <w:keepLines/>
      <w:tabs>
        <w:tab w:val="left" w:pos="1635" w:leader="none"/>
        <w:tab w:val="left" w:pos="1701" w:leader="none"/>
      </w:tabs>
      <w:suppressAutoHyphens w:val="true"/>
      <w:spacing w:lineRule="atLeast" w:line="360"/>
      <w:jc w:val="both"/>
    </w:pPr>
    <w:rPr/>
  </w:style>
  <w:style w:type="paragraph" w:styleId="Wcicietrecitekstu">
    <w:name w:val="Body Text Indent"/>
    <w:basedOn w:val="Normalny"/>
    <w:pPr>
      <w:suppressAutoHyphens w:val="true"/>
      <w:ind w:left="2160" w:hanging="1620"/>
      <w:textAlignment w:val="auto"/>
    </w:pPr>
    <w:rPr>
      <w:rFonts w:eastAsia="Arial Unicode MS" w:cs="Times New Roman"/>
      <w:color w:val="000000"/>
      <w:lang w:eastAsia="en-US" w:bidi="en-US"/>
    </w:rPr>
  </w:style>
  <w:style w:type="paragraph" w:styleId="Tekstpodstawowy32">
    <w:name w:val="Tekst podstawowy 32"/>
    <w:basedOn w:val="Normalny"/>
    <w:qFormat/>
    <w:pPr>
      <w:keepLines/>
      <w:tabs>
        <w:tab w:val="left" w:pos="709" w:leader="none"/>
        <w:tab w:val="left" w:pos="1701" w:leader="none"/>
      </w:tabs>
      <w:suppressAutoHyphens w:val="true"/>
      <w:spacing w:lineRule="atLeast" w:line="360"/>
      <w:jc w:val="both"/>
      <w:textAlignment w:val="auto"/>
    </w:pPr>
    <w:rPr>
      <w:color w:val="FF0000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>
      <w:szCs w:val="21"/>
    </w:rPr>
  </w:style>
  <w:style w:type="paragraph" w:styleId="Tekstkomentarza">
    <w:name w:val="Tekst komentarza"/>
    <w:basedOn w:val="Normalny"/>
    <w:qFormat/>
    <w:pPr>
      <w:suppressAutoHyphens w:val="true"/>
    </w:pPr>
    <w:rPr>
      <w:sz w:val="20"/>
      <w:szCs w:val="18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/>
      <w:sz w:val="18"/>
      <w:szCs w:val="16"/>
    </w:rPr>
  </w:style>
  <w:style w:type="paragraph" w:styleId="Tekstprzypisudolnego">
    <w:name w:val="Tekst przypisu dolnego"/>
    <w:basedOn w:val="Normalny"/>
    <w:qFormat/>
    <w:pPr>
      <w:widowControl/>
      <w:suppressLineNumbers/>
      <w:suppressAutoHyphens w:val="true"/>
      <w:spacing w:lineRule="auto" w:line="276" w:before="0" w:after="200"/>
      <w:ind w:left="283" w:hanging="283"/>
      <w:textAlignment w:val="auto"/>
    </w:pPr>
    <w:rPr>
      <w:rFonts w:ascii="Calibri" w:hAnsi="Calibri" w:eastAsia="Calibri" w:cs="Times New Roman"/>
      <w:color w:val="00000A"/>
      <w:sz w:val="20"/>
      <w:szCs w:val="20"/>
      <w:lang w:eastAsia="en-US" w:bidi="ar-SA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OutlineListStyle26">
    <w:name w:val="WW_OutlineListStyle_26"/>
    <w:qFormat/>
  </w:style>
  <w:style w:type="numbering" w:styleId="WWOutlineListStyle25">
    <w:name w:val="WW_OutlineListStyle_25"/>
    <w:qFormat/>
  </w:style>
  <w:style w:type="numbering" w:styleId="WWOutlineListStyle24">
    <w:name w:val="WW_OutlineListStyle_24"/>
    <w:qFormat/>
  </w:style>
  <w:style w:type="numbering" w:styleId="WWOutlineListStyle23">
    <w:name w:val="WW_OutlineListStyle_23"/>
    <w:qFormat/>
  </w:style>
  <w:style w:type="numbering" w:styleId="WWOutlineListStyle22">
    <w:name w:val="WW_OutlineListStyle_22"/>
    <w:qFormat/>
  </w:style>
  <w:style w:type="numbering" w:styleId="WWOutlineListStyle21">
    <w:name w:val="WW_OutlineListStyle_21"/>
    <w:qFormat/>
  </w:style>
  <w:style w:type="numbering" w:styleId="WWOutlineListStyle20">
    <w:name w:val="WW_OutlineListStyle_20"/>
    <w:qFormat/>
  </w:style>
  <w:style w:type="numbering" w:styleId="WWOutlineListStyle19">
    <w:name w:val="WW_OutlineListStyle_19"/>
    <w:qFormat/>
  </w:style>
  <w:style w:type="numbering" w:styleId="WWOutlineListStyle18">
    <w:name w:val="WW_OutlineListStyle_18"/>
    <w:qFormat/>
  </w:style>
  <w:style w:type="numbering" w:styleId="WWOutlineListStyle17">
    <w:name w:val="WW_OutlineListStyle_17"/>
    <w:qFormat/>
  </w:style>
  <w:style w:type="numbering" w:styleId="WWOutlineListStyle16">
    <w:name w:val="WW_OutlineListStyle_16"/>
    <w:qFormat/>
  </w:style>
  <w:style w:type="numbering" w:styleId="WWOutlineListStyle15">
    <w:name w:val="WW_OutlineListStyle_15"/>
    <w:qFormat/>
  </w:style>
  <w:style w:type="numbering" w:styleId="WWOutlineListStyle14">
    <w:name w:val="WW_OutlineListStyle_14"/>
    <w:qFormat/>
  </w:style>
  <w:style w:type="numbering" w:styleId="WWOutlineListStyle13">
    <w:name w:val="WW_OutlineListStyle_13"/>
    <w:qFormat/>
  </w:style>
  <w:style w:type="numbering" w:styleId="WWOutlineListStyle12">
    <w:name w:val="WW_OutlineListStyle_12"/>
    <w:qFormat/>
  </w:style>
  <w:style w:type="numbering" w:styleId="WWOutlineListStyle11">
    <w:name w:val="WW_OutlineListStyle_11"/>
    <w:qFormat/>
  </w:style>
  <w:style w:type="numbering" w:styleId="WWOutlineListStyle10">
    <w:name w:val="WW_OutlineListStyle_10"/>
    <w:qFormat/>
  </w:style>
  <w:style w:type="numbering" w:styleId="WWOutlineListStyle9">
    <w:name w:val="WW_OutlineListStyle_9"/>
    <w:qFormat/>
  </w:style>
  <w:style w:type="numbering" w:styleId="WWOutlineListStyle8">
    <w:name w:val="WW_OutlineListStyle_8"/>
    <w:qFormat/>
  </w:style>
  <w:style w:type="numbering" w:styleId="WWOutlineListStyle7">
    <w:name w:val="WW_OutlineListStyle_7"/>
    <w:qFormat/>
  </w:style>
  <w:style w:type="numbering" w:styleId="WWOutlineListStyle6">
    <w:name w:val="WW_OutlineListStyle_6"/>
    <w:qFormat/>
  </w:style>
  <w:style w:type="numbering" w:styleId="WWOutlineListStyle5">
    <w:name w:val="WW_OutlineListStyle_5"/>
    <w:qFormat/>
  </w:style>
  <w:style w:type="numbering" w:styleId="WWOutlineListStyle4">
    <w:name w:val="WW_OutlineListStyle_4"/>
    <w:qFormat/>
  </w:style>
  <w:style w:type="numbering" w:styleId="WWOutlineListStyle3">
    <w:name w:val="WW_OutlineListStyle_3"/>
    <w:qFormat/>
  </w:style>
  <w:style w:type="numbering" w:styleId="WWOutlineListStyle2">
    <w:name w:val="WW_OutlineListStyle_2"/>
    <w:qFormat/>
  </w:style>
  <w:style w:type="numbering" w:styleId="WWOutlineListStyle1">
    <w:name w:val="WW_OutlineListStyle_1"/>
    <w:qFormat/>
  </w:style>
  <w:style w:type="numbering" w:styleId="WWOutlineListStyle">
    <w:name w:val="WW_OutlineListStyle"/>
    <w:qFormat/>
  </w:style>
  <w:style w:type="numbering" w:styleId="LFO2">
    <w:name w:val="LFO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212</TotalTime>
  <Pages>3</Pages>
  <Words>993</Words>
  <Characters>5962</Characters>
  <Paragraphs>13</Paragraphs>
  <CharactersWithSpaces>6942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2022-08-10T08:57:00Z</cp:lastPrinted>
  <dcterms:created xsi:type="dcterms:W3CDTF">2022-08-01T11:38:00Z</dcterms:created>
  <dcterms:modified xsi:type="dcterms:W3CDTF">2022-08-26T11:21:00Z</dcterms:modified>
</cp:coreProperties>
</file>